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0" w:rsidRPr="004E7843" w:rsidRDefault="006C3EE0" w:rsidP="006C3EE0">
      <w:pPr>
        <w:rPr>
          <w:b/>
          <w:sz w:val="28"/>
          <w:szCs w:val="28"/>
        </w:rPr>
      </w:pPr>
      <w:r w:rsidRPr="008A4D35">
        <w:rPr>
          <w:b/>
          <w:sz w:val="28"/>
          <w:szCs w:val="28"/>
        </w:rPr>
        <w:t>ТЕХНИЧЕСКОЕ ЗАДАНИЕ</w:t>
      </w:r>
      <w:r w:rsidRPr="002C2035">
        <w:rPr>
          <w:b/>
          <w:sz w:val="28"/>
          <w:szCs w:val="28"/>
        </w:rPr>
        <w:t xml:space="preserve"> </w:t>
      </w:r>
      <w:r w:rsidRPr="008A4D35">
        <w:rPr>
          <w:b/>
          <w:sz w:val="28"/>
          <w:szCs w:val="28"/>
        </w:rPr>
        <w:t>на закупку</w:t>
      </w:r>
      <w:r>
        <w:rPr>
          <w:b/>
          <w:sz w:val="28"/>
          <w:szCs w:val="28"/>
        </w:rPr>
        <w:t xml:space="preserve"> интерактивной панели</w:t>
      </w:r>
      <w:r w:rsidRPr="004E7843">
        <w:rPr>
          <w:b/>
          <w:sz w:val="28"/>
          <w:szCs w:val="28"/>
        </w:rPr>
        <w:t xml:space="preserve"> </w:t>
      </w:r>
    </w:p>
    <w:p w:rsidR="00E21F91" w:rsidRPr="006C3EE0" w:rsidRDefault="006C3EE0" w:rsidP="006C3EE0">
      <w:pPr>
        <w:spacing w:line="220" w:lineRule="exact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(</w:t>
      </w:r>
      <w:r w:rsidRPr="00D603BF">
        <w:rPr>
          <w:b/>
          <w:sz w:val="24"/>
          <w:szCs w:val="24"/>
        </w:rPr>
        <w:t>Основание</w:t>
      </w:r>
      <w:r w:rsidRPr="009617C0">
        <w:rPr>
          <w:bCs/>
          <w:sz w:val="24"/>
          <w:szCs w:val="24"/>
        </w:rPr>
        <w:t>:</w:t>
      </w:r>
      <w:proofErr w:type="gramEnd"/>
      <w:r w:rsidRPr="009617C0">
        <w:rPr>
          <w:bCs/>
          <w:sz w:val="24"/>
          <w:szCs w:val="24"/>
        </w:rPr>
        <w:t xml:space="preserve"> </w:t>
      </w:r>
      <w:r w:rsidRPr="009617C0">
        <w:rPr>
          <w:sz w:val="24"/>
          <w:szCs w:val="24"/>
        </w:rPr>
        <w:t>Инструктивно-методическое письмо Министерства образования Республики Б</w:t>
      </w:r>
      <w:r w:rsidRPr="009617C0">
        <w:rPr>
          <w:sz w:val="24"/>
          <w:szCs w:val="24"/>
        </w:rPr>
        <w:t>е</w:t>
      </w:r>
      <w:r w:rsidRPr="009617C0">
        <w:rPr>
          <w:sz w:val="24"/>
          <w:szCs w:val="24"/>
        </w:rPr>
        <w:t>ларусь «Об использовании современных информационно-коммуникационных технологий в учреждениях общего среднего образования в 202</w:t>
      </w:r>
      <w:r>
        <w:rPr>
          <w:sz w:val="24"/>
          <w:szCs w:val="24"/>
        </w:rPr>
        <w:t>5</w:t>
      </w:r>
      <w:r w:rsidRPr="009617C0">
        <w:rPr>
          <w:sz w:val="24"/>
          <w:szCs w:val="24"/>
        </w:rPr>
        <w:t>/202</w:t>
      </w:r>
      <w:r>
        <w:rPr>
          <w:sz w:val="24"/>
          <w:szCs w:val="24"/>
        </w:rPr>
        <w:t xml:space="preserve">6 </w:t>
      </w:r>
      <w:r w:rsidRPr="009617C0">
        <w:rPr>
          <w:sz w:val="24"/>
          <w:szCs w:val="24"/>
        </w:rPr>
        <w:t>учебном году»</w:t>
      </w:r>
      <w:r>
        <w:rPr>
          <w:sz w:val="24"/>
          <w:szCs w:val="24"/>
        </w:rPr>
        <w:t>)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5"/>
        <w:gridCol w:w="5958"/>
      </w:tblGrid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6C3EE0">
            <w:pPr>
              <w:widowControl w:val="0"/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Общие требования</w:t>
            </w:r>
          </w:p>
        </w:tc>
        <w:tc>
          <w:tcPr>
            <w:tcW w:w="3064" w:type="pct"/>
          </w:tcPr>
          <w:p w:rsidR="00C35550" w:rsidRPr="00EF29A9" w:rsidRDefault="00C35550" w:rsidP="006C3EE0">
            <w:pPr>
              <w:widowControl w:val="0"/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Интерактивная панель с инфракрасной технологией и встроенным ПК.</w:t>
            </w:r>
          </w:p>
          <w:p w:rsidR="00C35550" w:rsidRPr="00EF29A9" w:rsidRDefault="00C35550" w:rsidP="006C3EE0">
            <w:pPr>
              <w:widowControl w:val="0"/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Возможность одновременной работы по касаниям: распознавание не менее 20 касаний.</w:t>
            </w:r>
          </w:p>
          <w:p w:rsidR="00C35550" w:rsidRPr="00EF29A9" w:rsidRDefault="00C35550" w:rsidP="006C3EE0">
            <w:pPr>
              <w:widowControl w:val="0"/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Наличие USB-портов не менее 6, в том числе USB 3.0 не менее 2.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Дисплей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Форм-фактор дисплея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встроенный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Тип дисплея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IPS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 xml:space="preserve">Соответствие стандартам 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VESA FDMI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val="en-US"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Технология дисплея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ind w:firstLine="176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Высококачественная жидкокристаллическая матрица со следующими параметрами: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количество цветов не менее 16,7 млн.; цветопередача не менее 8 бит на канал; яркость 300 кд/м</w:t>
            </w:r>
            <w:proofErr w:type="gram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2</w:t>
            </w:r>
            <w:proofErr w:type="gram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, контрас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т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ность не менее 1000:1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Размер видимого изображения по диагонали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 менее 163,8 см (64,5")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val="en-US" w:eastAsia="en-US"/>
              </w:rPr>
              <w:t>3840</w:t>
            </w: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×</w:t>
            </w:r>
            <w:r w:rsidRPr="00EF29A9">
              <w:rPr>
                <w:rFonts w:cs="Times New Roman"/>
                <w:color w:val="auto"/>
                <w:sz w:val="24"/>
                <w:szCs w:val="24"/>
                <w:lang w:val="en-US" w:eastAsia="en-US"/>
              </w:rPr>
              <w:t>216</w:t>
            </w: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Формат изображения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cs="Times New Roman"/>
                <w:color w:val="auto"/>
                <w:sz w:val="24"/>
                <w:szCs w:val="24"/>
                <w:lang w:eastAsia="en-US"/>
              </w:rPr>
            </w:pP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16:9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Форм-фактор панели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моноблок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Срок службы 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при непрерывной работе не менее 30 000 часов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Масса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 более 80 кг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Встроенный модульный ПК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Характеристики ПК-модуля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 менее: процессор – 4 ядра, 8 потоков,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тактовая частота – не менее 3,0 ГГЦ,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размер кэша – 12 Мб;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Оперативная память – 8 ГБ;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SSD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– 512 ГБ;</w:t>
            </w:r>
          </w:p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модельный ряд – не старше 2022 года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Характеристики 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Android-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модуля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Android</w:t>
            </w:r>
            <w:proofErr w:type="spell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13.0 и выше; процессор 4 ядра, 1.9GHz; RAM 4GB DDR4; Flash 32Gb; </w:t>
            </w:r>
            <w:proofErr w:type="spell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WiFi</w:t>
            </w:r>
            <w:proofErr w:type="spell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(2.4/5ГГц); B</w:t>
            </w:r>
            <w:proofErr w:type="spellStart"/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luetooth</w:t>
            </w:r>
            <w:proofErr w:type="spellEnd"/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Видеоадаптер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proofErr w:type="gram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Интегрированный</w:t>
            </w:r>
            <w:proofErr w:type="gram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либо дискретный с поддержкой 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HDMI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Звуковой адаптер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Интегрированный либо дискретный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Сетевой адаптер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Интегрированный либо дискретный, </w:t>
            </w:r>
            <w:proofErr w:type="spell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Gigabit</w:t>
            </w:r>
            <w:proofErr w:type="spell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Ethernet</w:t>
            </w:r>
            <w:proofErr w:type="spellEnd"/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(RJ45);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i/>
                <w:iCs/>
                <w:color w:val="auto"/>
                <w:sz w:val="24"/>
                <w:szCs w:val="24"/>
              </w:rPr>
              <w:t>Wi-Fi с обязательной поддер</w:t>
            </w:r>
            <w:r w:rsidRPr="00EF29A9">
              <w:rPr>
                <w:rFonts w:eastAsia="Times New Roman" w:cs="Times New Roman"/>
                <w:i/>
                <w:iCs/>
                <w:color w:val="auto"/>
                <w:sz w:val="24"/>
                <w:szCs w:val="24"/>
              </w:rPr>
              <w:t>ж</w:t>
            </w:r>
            <w:r w:rsidRPr="00EF29A9">
              <w:rPr>
                <w:rFonts w:eastAsia="Times New Roman" w:cs="Times New Roman"/>
                <w:i/>
                <w:iCs/>
                <w:color w:val="auto"/>
                <w:sz w:val="24"/>
                <w:szCs w:val="24"/>
              </w:rPr>
              <w:t>кой стандартов: IEEE 802.11a/g/n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Есть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064" w:type="pct"/>
          </w:tcPr>
          <w:p w:rsidR="00C35550" w:rsidRPr="00EF29A9" w:rsidRDefault="00C35550" w:rsidP="006C3EE0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Предустановленная лицензионная операционная с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и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стема 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Microsoft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  <w:lang w:val="en-US"/>
              </w:rPr>
              <w:t>Windows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10/11 </w:t>
            </w:r>
            <w:r w:rsidR="00E23281" w:rsidRPr="00E23281">
              <w:rPr>
                <w:rFonts w:eastAsia="Times New Roman" w:cs="Times New Roman"/>
                <w:color w:val="auto"/>
                <w:sz w:val="24"/>
                <w:szCs w:val="24"/>
              </w:rPr>
              <w:t>(</w:t>
            </w:r>
            <w:r w:rsidR="00E23281" w:rsidRPr="00E23281">
              <w:rPr>
                <w:sz w:val="24"/>
                <w:szCs w:val="24"/>
              </w:rPr>
              <w:t>В связи с необходим</w:t>
            </w:r>
            <w:r w:rsidR="00E23281" w:rsidRPr="00E23281">
              <w:rPr>
                <w:sz w:val="24"/>
                <w:szCs w:val="24"/>
              </w:rPr>
              <w:t>о</w:t>
            </w:r>
            <w:r w:rsidR="00E23281" w:rsidRPr="00E23281">
              <w:rPr>
                <w:sz w:val="24"/>
                <w:szCs w:val="24"/>
              </w:rPr>
              <w:t>стью совместимости используемого в учреждениях о</w:t>
            </w:r>
            <w:r w:rsidR="00E23281" w:rsidRPr="00E23281">
              <w:rPr>
                <w:sz w:val="24"/>
                <w:szCs w:val="24"/>
              </w:rPr>
              <w:t>б</w:t>
            </w:r>
            <w:r w:rsidR="00E23281" w:rsidRPr="00E23281">
              <w:rPr>
                <w:sz w:val="24"/>
                <w:szCs w:val="24"/>
              </w:rPr>
              <w:t>разования прикладного программного обеспечения с операционной системой Microsoft Windows, аналоги операционной системы Microsoft Windows 10/11 не рассматриваются)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6C3EE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C3EE0">
              <w:rPr>
                <w:rFonts w:eastAsia="Times New Roman" w:cs="Times New Roman"/>
                <w:color w:val="auto"/>
                <w:sz w:val="24"/>
                <w:szCs w:val="24"/>
              </w:rPr>
              <w:t>Электронные учебные издания для организации образовательн</w:t>
            </w:r>
            <w:r w:rsidRPr="006C3EE0">
              <w:rPr>
                <w:rFonts w:eastAsia="Times New Roman" w:cs="Times New Roman"/>
                <w:color w:val="auto"/>
                <w:sz w:val="24"/>
                <w:szCs w:val="24"/>
              </w:rPr>
              <w:t>о</w:t>
            </w:r>
            <w:r w:rsidRPr="006C3EE0">
              <w:rPr>
                <w:rFonts w:eastAsia="Times New Roman" w:cs="Times New Roman"/>
                <w:color w:val="auto"/>
                <w:sz w:val="24"/>
                <w:szCs w:val="24"/>
              </w:rPr>
              <w:t>го процесса</w:t>
            </w:r>
          </w:p>
        </w:tc>
        <w:tc>
          <w:tcPr>
            <w:tcW w:w="3064" w:type="pct"/>
          </w:tcPr>
          <w:p w:rsidR="006C3EE0" w:rsidRPr="00BF2409" w:rsidRDefault="006C3EE0" w:rsidP="006C3EE0">
            <w:pPr>
              <w:spacing w:line="200" w:lineRule="exact"/>
              <w:ind w:firstLine="0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 xml:space="preserve">В закупку </w:t>
            </w:r>
            <w:r>
              <w:rPr>
                <w:sz w:val="20"/>
                <w:szCs w:val="20"/>
              </w:rPr>
              <w:t xml:space="preserve">интерактивной панели </w:t>
            </w:r>
            <w:r w:rsidRPr="00BF2409">
              <w:rPr>
                <w:sz w:val="20"/>
                <w:szCs w:val="20"/>
              </w:rPr>
              <w:t xml:space="preserve">включить </w:t>
            </w:r>
            <w:proofErr w:type="gramStart"/>
            <w:r>
              <w:rPr>
                <w:sz w:val="20"/>
                <w:szCs w:val="20"/>
              </w:rPr>
              <w:t>образовательное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F2409">
              <w:rPr>
                <w:sz w:val="20"/>
                <w:szCs w:val="20"/>
              </w:rPr>
              <w:t>ПО для реализации образовательного процесса, имеющее акты эк</w:t>
            </w:r>
            <w:r w:rsidRPr="00BF2409">
              <w:rPr>
                <w:sz w:val="20"/>
                <w:szCs w:val="20"/>
              </w:rPr>
              <w:t>с</w:t>
            </w:r>
            <w:r w:rsidRPr="00BF2409">
              <w:rPr>
                <w:sz w:val="20"/>
                <w:szCs w:val="20"/>
              </w:rPr>
              <w:t xml:space="preserve">пертизы Министерства образования Республики Беларусь:  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“</w:t>
            </w:r>
            <w:r w:rsidRPr="00BF2409">
              <w:rPr>
                <w:b/>
                <w:sz w:val="20"/>
                <w:szCs w:val="20"/>
              </w:rPr>
              <w:t>Математика. Обобщение и систематизация»</w:t>
            </w:r>
            <w:r w:rsidRPr="00BF2409">
              <w:rPr>
                <w:sz w:val="20"/>
                <w:szCs w:val="20"/>
              </w:rPr>
              <w:t xml:space="preserve"> - Подг</w:t>
            </w:r>
            <w:r w:rsidRPr="00BF2409">
              <w:rPr>
                <w:sz w:val="20"/>
                <w:szCs w:val="20"/>
              </w:rPr>
              <w:t>о</w:t>
            </w:r>
            <w:r w:rsidRPr="00BF2409">
              <w:rPr>
                <w:sz w:val="20"/>
                <w:szCs w:val="20"/>
              </w:rPr>
              <w:lastRenderedPageBreak/>
              <w:t>товка к ЦЭ/ЦТ. Содержит более 975 тестовых зданий, предста</w:t>
            </w:r>
            <w:r w:rsidRPr="00BF2409">
              <w:rPr>
                <w:sz w:val="20"/>
                <w:szCs w:val="20"/>
              </w:rPr>
              <w:t>в</w:t>
            </w:r>
            <w:r w:rsidRPr="00BF2409">
              <w:rPr>
                <w:sz w:val="20"/>
                <w:szCs w:val="20"/>
              </w:rPr>
              <w:t>ленных в тематических, контрольных и итоговых тестах. Бол</w:t>
            </w:r>
            <w:r w:rsidRPr="00BF2409">
              <w:rPr>
                <w:sz w:val="20"/>
                <w:szCs w:val="20"/>
              </w:rPr>
              <w:t>ь</w:t>
            </w:r>
            <w:r w:rsidRPr="00BF2409">
              <w:rPr>
                <w:sz w:val="20"/>
                <w:szCs w:val="20"/>
              </w:rPr>
              <w:t>шинство тестовых заданий имеет объяснение или решение. Все тестовые задания сопровождаются правильными ответами.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Русский язык. Обобщение и систематизация»</w:t>
            </w:r>
            <w:r w:rsidRPr="00BF2409">
              <w:rPr>
                <w:sz w:val="20"/>
                <w:szCs w:val="20"/>
              </w:rPr>
              <w:t xml:space="preserve"> - Подг</w:t>
            </w:r>
            <w:r w:rsidRPr="00BF2409">
              <w:rPr>
                <w:sz w:val="20"/>
                <w:szCs w:val="20"/>
              </w:rPr>
              <w:t>о</w:t>
            </w:r>
            <w:r w:rsidRPr="00BF2409">
              <w:rPr>
                <w:sz w:val="20"/>
                <w:szCs w:val="20"/>
              </w:rPr>
              <w:t>товка к ЦЭ/ЦТ. Содержит более 1600 тестовых зданий, предста</w:t>
            </w:r>
            <w:r w:rsidRPr="00BF2409">
              <w:rPr>
                <w:sz w:val="20"/>
                <w:szCs w:val="20"/>
              </w:rPr>
              <w:t>в</w:t>
            </w:r>
            <w:r w:rsidRPr="00BF2409">
              <w:rPr>
                <w:sz w:val="20"/>
                <w:szCs w:val="20"/>
              </w:rPr>
              <w:t>ленных в тематических, контрольных и итоговых тестах. Бол</w:t>
            </w:r>
            <w:r w:rsidRPr="00BF2409">
              <w:rPr>
                <w:sz w:val="20"/>
                <w:szCs w:val="20"/>
              </w:rPr>
              <w:t>ь</w:t>
            </w:r>
            <w:r w:rsidRPr="00BF2409">
              <w:rPr>
                <w:sz w:val="20"/>
                <w:szCs w:val="20"/>
              </w:rPr>
              <w:t>шинство тестовых заданий имеет объяснение. Все тестовые зад</w:t>
            </w:r>
            <w:r w:rsidRPr="00BF2409">
              <w:rPr>
                <w:sz w:val="20"/>
                <w:szCs w:val="20"/>
              </w:rPr>
              <w:t>а</w:t>
            </w:r>
            <w:r w:rsidRPr="00BF2409">
              <w:rPr>
                <w:sz w:val="20"/>
                <w:szCs w:val="20"/>
              </w:rPr>
              <w:t>ния сопровождаются правильными ответами.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 xml:space="preserve">Беларуская мова. Абагульненне і </w:t>
            </w:r>
            <w:r w:rsidRPr="00BF2409">
              <w:rPr>
                <w:b/>
                <w:sz w:val="20"/>
                <w:szCs w:val="20"/>
                <w:lang w:val="be-BY"/>
              </w:rPr>
              <w:t>сі</w:t>
            </w:r>
            <w:r w:rsidRPr="00BF2409">
              <w:rPr>
                <w:b/>
                <w:sz w:val="20"/>
                <w:szCs w:val="20"/>
              </w:rPr>
              <w:t>стэматызацыя</w:t>
            </w:r>
            <w:r w:rsidRPr="00BF2409">
              <w:rPr>
                <w:sz w:val="20"/>
                <w:szCs w:val="20"/>
              </w:rPr>
              <w:t>» - Подготовка к ЦЭ/ЦТ. Содержит более 1600 тестовых зданий, представленных в тематических, контрольных и итоговых тестах. Большинство тестовых заданий имеет объяснение. Все тестовые задания сопровождаются правильными ответами.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b/>
                <w:sz w:val="20"/>
                <w:szCs w:val="20"/>
              </w:rPr>
              <w:t>ПК «Химия. Обобщение и систематизация»</w:t>
            </w:r>
            <w:r w:rsidRPr="00BF2409">
              <w:rPr>
                <w:sz w:val="20"/>
                <w:szCs w:val="20"/>
              </w:rPr>
              <w:t xml:space="preserve"> - Подготовка к ЦЭ/ЦТ. Более 1500 тестовых зданий, представленных в тематич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ских, контрольных и итоговых тестах. Большинство тестовых з</w:t>
            </w:r>
            <w:r w:rsidRPr="00BF2409">
              <w:rPr>
                <w:sz w:val="20"/>
                <w:szCs w:val="20"/>
              </w:rPr>
              <w:t>а</w:t>
            </w:r>
            <w:r w:rsidRPr="00BF2409">
              <w:rPr>
                <w:sz w:val="20"/>
                <w:szCs w:val="20"/>
              </w:rPr>
              <w:t>даний имеет решение. Все тестовые задания сопровождаются пр</w:t>
            </w:r>
            <w:r w:rsidRPr="00BF2409">
              <w:rPr>
                <w:sz w:val="20"/>
                <w:szCs w:val="20"/>
              </w:rPr>
              <w:t>а</w:t>
            </w:r>
            <w:r w:rsidRPr="00BF2409">
              <w:rPr>
                <w:sz w:val="20"/>
                <w:szCs w:val="20"/>
              </w:rPr>
              <w:t>вильными ответами.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b/>
                <w:sz w:val="20"/>
                <w:szCs w:val="20"/>
              </w:rPr>
              <w:t>ПК «Физика. Обобщение и систематизация»</w:t>
            </w:r>
            <w:r w:rsidRPr="00BF2409">
              <w:rPr>
                <w:sz w:val="20"/>
                <w:szCs w:val="20"/>
              </w:rPr>
              <w:t xml:space="preserve"> - Подготовка к ЦЭ/ЦТ. Более 1100 тестовых зданий, представленных в тематич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ских, контрольных и итоговых тестах. Большинство тестовых з</w:t>
            </w:r>
            <w:r w:rsidRPr="00BF2409">
              <w:rPr>
                <w:sz w:val="20"/>
                <w:szCs w:val="20"/>
              </w:rPr>
              <w:t>а</w:t>
            </w:r>
            <w:r w:rsidRPr="00BF2409">
              <w:rPr>
                <w:sz w:val="20"/>
                <w:szCs w:val="20"/>
              </w:rPr>
              <w:t>даний имеет решение. Все тестовые задания сопровождаются о</w:t>
            </w:r>
            <w:r w:rsidRPr="00BF2409">
              <w:rPr>
                <w:sz w:val="20"/>
                <w:szCs w:val="20"/>
              </w:rPr>
              <w:t>т</w:t>
            </w:r>
            <w:r w:rsidRPr="00BF2409">
              <w:rPr>
                <w:sz w:val="20"/>
                <w:szCs w:val="20"/>
              </w:rPr>
              <w:t>ветами.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Наглядная физика. Введение</w:t>
            </w:r>
            <w:r w:rsidRPr="00BF2409">
              <w:rPr>
                <w:sz w:val="20"/>
                <w:szCs w:val="20"/>
              </w:rPr>
              <w:t>»: (7 класс) Модели и тр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нажеры. Темы: Механическое движение и взаимодействие тел; Давление; Работа и мощность. Энергия.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Наглядная физика. Часть I</w:t>
            </w:r>
            <w:r w:rsidRPr="00BF2409">
              <w:rPr>
                <w:sz w:val="20"/>
                <w:szCs w:val="20"/>
              </w:rPr>
              <w:t>»: (8 класс). Модели и трен</w:t>
            </w:r>
            <w:r w:rsidRPr="00BF2409">
              <w:rPr>
                <w:sz w:val="20"/>
                <w:szCs w:val="20"/>
              </w:rPr>
              <w:t>а</w:t>
            </w:r>
            <w:r w:rsidRPr="00BF2409">
              <w:rPr>
                <w:sz w:val="20"/>
                <w:szCs w:val="20"/>
              </w:rPr>
              <w:t>жеры. Темы: Тепловые явления Электромагнитные явления.  Св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товые явления.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Наглядная физика. Часть II</w:t>
            </w:r>
            <w:r w:rsidRPr="00BF2409">
              <w:rPr>
                <w:sz w:val="20"/>
                <w:szCs w:val="20"/>
              </w:rPr>
              <w:t>»: (9 класс). Модели и тр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нажеры Темы: Основы кинематики; Основы динамики; Основы статики; Законы сохранения.</w:t>
            </w:r>
          </w:p>
          <w:p w:rsidR="006C3EE0" w:rsidRPr="00BF2409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Наглядная физика. Часть III</w:t>
            </w:r>
            <w:r w:rsidRPr="00BF2409">
              <w:rPr>
                <w:sz w:val="20"/>
                <w:szCs w:val="20"/>
              </w:rPr>
              <w:t>»: (10 класс). Модели и тр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нажеры Темы: Молекулярная физика. Электричество. Магнетизм.</w:t>
            </w:r>
          </w:p>
          <w:p w:rsidR="006C3EE0" w:rsidRDefault="006C3EE0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BF2409">
              <w:rPr>
                <w:sz w:val="20"/>
                <w:szCs w:val="20"/>
              </w:rPr>
              <w:t>ПК «</w:t>
            </w:r>
            <w:r w:rsidRPr="00BF2409">
              <w:rPr>
                <w:b/>
                <w:sz w:val="20"/>
                <w:szCs w:val="20"/>
              </w:rPr>
              <w:t>Наглядная физика. Часть IV</w:t>
            </w:r>
            <w:r w:rsidRPr="00BF2409">
              <w:rPr>
                <w:sz w:val="20"/>
                <w:szCs w:val="20"/>
              </w:rPr>
              <w:t>»: (11 класс). Модели и тр</w:t>
            </w:r>
            <w:r w:rsidRPr="00BF2409">
              <w:rPr>
                <w:sz w:val="20"/>
                <w:szCs w:val="20"/>
              </w:rPr>
              <w:t>е</w:t>
            </w:r>
            <w:r w:rsidRPr="00BF2409">
              <w:rPr>
                <w:sz w:val="20"/>
                <w:szCs w:val="20"/>
              </w:rPr>
              <w:t>нажеры. Темы: Механические колебания и волны. Электрома</w:t>
            </w:r>
            <w:r w:rsidRPr="00BF2409">
              <w:rPr>
                <w:sz w:val="20"/>
                <w:szCs w:val="20"/>
              </w:rPr>
              <w:t>г</w:t>
            </w:r>
            <w:r w:rsidRPr="00BF2409">
              <w:rPr>
                <w:sz w:val="20"/>
                <w:szCs w:val="20"/>
              </w:rPr>
              <w:t>нитные колебания и волны. Оптика. Кантовая физика.</w:t>
            </w:r>
            <w:r w:rsidRPr="00BF2409">
              <w:rPr>
                <w:sz w:val="20"/>
                <w:szCs w:val="20"/>
              </w:rPr>
              <w:tab/>
            </w:r>
          </w:p>
          <w:p w:rsidR="006C3EE0" w:rsidRDefault="00256563" w:rsidP="006C3EE0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ПМК «Наглядная алгебра. 9 класс».</w:t>
            </w:r>
            <w:r>
              <w:rPr>
                <w:sz w:val="20"/>
                <w:szCs w:val="20"/>
              </w:rPr>
              <w:t xml:space="preserve"> </w:t>
            </w:r>
            <w:r w:rsidRPr="007A4F71">
              <w:rPr>
                <w:sz w:val="20"/>
                <w:szCs w:val="20"/>
              </w:rPr>
              <w:t>9 класс. Уроки, модели, тренажеры.</w:t>
            </w:r>
          </w:p>
          <w:p w:rsidR="00256563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ПМК «Алгебра-10».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A4F71">
              <w:rPr>
                <w:sz w:val="20"/>
                <w:szCs w:val="20"/>
              </w:rPr>
              <w:t>10 класс Уроки, модели, тренажеры.</w:t>
            </w:r>
          </w:p>
          <w:p w:rsidR="00256563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ПК «Наглядная геометрия. Планиметрия</w:t>
            </w:r>
            <w:r w:rsidRPr="007A4F7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  <w:r w:rsidRPr="007A4F71">
              <w:rPr>
                <w:sz w:val="20"/>
                <w:szCs w:val="20"/>
              </w:rPr>
              <w:t xml:space="preserve"> 7-9 классы. 100 теорем и задач с пошаговой анимацией; 9 анимированных роликов с теоретическими сведениями; 10 анимированных роликов с зад</w:t>
            </w:r>
            <w:r w:rsidRPr="007A4F71">
              <w:rPr>
                <w:sz w:val="20"/>
                <w:szCs w:val="20"/>
              </w:rPr>
              <w:t>а</w:t>
            </w:r>
            <w:r w:rsidRPr="007A4F71">
              <w:rPr>
                <w:sz w:val="20"/>
                <w:szCs w:val="20"/>
              </w:rPr>
              <w:t>чами практического содержания</w:t>
            </w:r>
            <w:r>
              <w:rPr>
                <w:sz w:val="20"/>
                <w:szCs w:val="20"/>
              </w:rPr>
              <w:t>.</w:t>
            </w:r>
          </w:p>
          <w:p w:rsidR="00256563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ПМК «Начальная школа. Развиваем речь».</w:t>
            </w:r>
            <w:r>
              <w:rPr>
                <w:sz w:val="20"/>
                <w:szCs w:val="20"/>
              </w:rPr>
              <w:t xml:space="preserve"> </w:t>
            </w:r>
            <w:r w:rsidRPr="007A4F71">
              <w:rPr>
                <w:sz w:val="20"/>
                <w:szCs w:val="20"/>
              </w:rPr>
              <w:t>3-5 классы. Анимированные уроки. Тесты. Словарь. Развитие речи, формир</w:t>
            </w:r>
            <w:r w:rsidRPr="007A4F71">
              <w:rPr>
                <w:sz w:val="20"/>
                <w:szCs w:val="20"/>
              </w:rPr>
              <w:t>о</w:t>
            </w:r>
            <w:r w:rsidRPr="007A4F71">
              <w:rPr>
                <w:sz w:val="20"/>
                <w:szCs w:val="20"/>
              </w:rPr>
              <w:t>вание коммуникативных умений, обогащение словарного запаса учащихся 3-4, 5 классов</w:t>
            </w:r>
            <w:r>
              <w:rPr>
                <w:sz w:val="20"/>
                <w:szCs w:val="20"/>
              </w:rPr>
              <w:t>.</w:t>
            </w:r>
          </w:p>
          <w:p w:rsidR="00256563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ПМК «Пачатковая школа: Беларуская лекс</w:t>
            </w:r>
            <w:proofErr w:type="gramStart"/>
            <w:r w:rsidRPr="00256563">
              <w:rPr>
                <w:b/>
                <w:sz w:val="20"/>
                <w:szCs w:val="20"/>
              </w:rPr>
              <w:t>i</w:t>
            </w:r>
            <w:proofErr w:type="gramEnd"/>
            <w:r w:rsidRPr="00256563">
              <w:rPr>
                <w:b/>
                <w:sz w:val="20"/>
                <w:szCs w:val="20"/>
              </w:rPr>
              <w:t>ка</w:t>
            </w:r>
            <w:r w:rsidRPr="007A4F7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  <w:r w:rsidRPr="007A4F71">
              <w:rPr>
                <w:sz w:val="20"/>
                <w:szCs w:val="20"/>
              </w:rPr>
              <w:t xml:space="preserve"> 2-4 классы. Анимированные уроки. Тесты. Словарь. Формирование устойч</w:t>
            </w:r>
            <w:r w:rsidRPr="007A4F71">
              <w:rPr>
                <w:sz w:val="20"/>
                <w:szCs w:val="20"/>
              </w:rPr>
              <w:t>и</w:t>
            </w:r>
            <w:r w:rsidRPr="007A4F71">
              <w:rPr>
                <w:sz w:val="20"/>
                <w:szCs w:val="20"/>
              </w:rPr>
              <w:t>вого понимания и активного владения белорусской лексикой в 2-4-х классов школ с русским языком обучения</w:t>
            </w:r>
            <w:r>
              <w:rPr>
                <w:sz w:val="20"/>
                <w:szCs w:val="20"/>
              </w:rPr>
              <w:t>.</w:t>
            </w:r>
          </w:p>
          <w:p w:rsidR="00256563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ПК «Готовимся к школе»</w:t>
            </w:r>
            <w:r>
              <w:rPr>
                <w:sz w:val="20"/>
                <w:szCs w:val="20"/>
              </w:rPr>
              <w:t xml:space="preserve">. </w:t>
            </w:r>
            <w:r w:rsidRPr="007A4F71">
              <w:rPr>
                <w:sz w:val="20"/>
                <w:szCs w:val="20"/>
              </w:rPr>
              <w:t>Адаптация детей к 1-му году об</w:t>
            </w:r>
            <w:r w:rsidRPr="007A4F71">
              <w:rPr>
                <w:sz w:val="20"/>
                <w:szCs w:val="20"/>
              </w:rPr>
              <w:t>у</w:t>
            </w:r>
            <w:r w:rsidRPr="007A4F71">
              <w:rPr>
                <w:sz w:val="20"/>
                <w:szCs w:val="20"/>
              </w:rPr>
              <w:t>чения. Обучение чтению</w:t>
            </w:r>
            <w:r>
              <w:rPr>
                <w:sz w:val="20"/>
                <w:szCs w:val="20"/>
              </w:rPr>
              <w:t xml:space="preserve">. </w:t>
            </w:r>
          </w:p>
          <w:p w:rsidR="00256563" w:rsidRPr="007A4F71" w:rsidRDefault="00256563" w:rsidP="00256563">
            <w:pPr>
              <w:widowControl w:val="0"/>
              <w:spacing w:line="200" w:lineRule="exact"/>
              <w:ind w:firstLine="248"/>
              <w:rPr>
                <w:sz w:val="20"/>
                <w:szCs w:val="20"/>
              </w:rPr>
            </w:pPr>
            <w:r w:rsidRPr="00256563">
              <w:rPr>
                <w:b/>
                <w:sz w:val="20"/>
                <w:szCs w:val="20"/>
              </w:rPr>
              <w:t>ПМК «Минсковедение»</w:t>
            </w:r>
            <w:r>
              <w:rPr>
                <w:sz w:val="20"/>
                <w:szCs w:val="20"/>
              </w:rPr>
              <w:t xml:space="preserve">. </w:t>
            </w:r>
            <w:r w:rsidRPr="007A4F71">
              <w:rPr>
                <w:sz w:val="20"/>
                <w:szCs w:val="20"/>
              </w:rPr>
              <w:t>1 класс. Анимированные уроки. Сл</w:t>
            </w:r>
            <w:r w:rsidRPr="007A4F71">
              <w:rPr>
                <w:sz w:val="20"/>
                <w:szCs w:val="20"/>
              </w:rPr>
              <w:t>о</w:t>
            </w:r>
            <w:r w:rsidRPr="007A4F71">
              <w:rPr>
                <w:sz w:val="20"/>
                <w:szCs w:val="20"/>
              </w:rPr>
              <w:t>варь. 3-D модели. Тесты.  Развитие познавательного интереса уч-ся к истории, достопримечательностям и культурным ценностям столицы</w:t>
            </w:r>
            <w:r>
              <w:rPr>
                <w:sz w:val="20"/>
                <w:szCs w:val="20"/>
              </w:rPr>
              <w:t xml:space="preserve">. </w:t>
            </w:r>
          </w:p>
          <w:p w:rsidR="00C35550" w:rsidRPr="00EF29A9" w:rsidRDefault="006C3EE0" w:rsidP="006C3EE0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BF2409">
              <w:rPr>
                <w:sz w:val="20"/>
                <w:szCs w:val="20"/>
              </w:rPr>
              <w:t>или аналоги</w:t>
            </w:r>
          </w:p>
        </w:tc>
      </w:tr>
      <w:tr w:rsidR="006C3EE0" w:rsidRPr="00EF29A9" w:rsidTr="00A55ABA">
        <w:trPr>
          <w:trHeight w:val="20"/>
        </w:trPr>
        <w:tc>
          <w:tcPr>
            <w:tcW w:w="1936" w:type="pct"/>
          </w:tcPr>
          <w:p w:rsidR="006C3EE0" w:rsidRPr="00EF29A9" w:rsidRDefault="006C3EE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Гарантийное обслуживание</w:t>
            </w:r>
          </w:p>
        </w:tc>
        <w:tc>
          <w:tcPr>
            <w:tcW w:w="3064" w:type="pct"/>
          </w:tcPr>
          <w:p w:rsidR="006C3EE0" w:rsidRPr="00EF29A9" w:rsidRDefault="006C3EE0" w:rsidP="006C3EE0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 менее 36 месяцев.</w:t>
            </w:r>
          </w:p>
          <w:p w:rsidR="006C3EE0" w:rsidRPr="00EF29A9" w:rsidRDefault="006C3EE0" w:rsidP="006C3EE0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Должно предусматриваться послегарантийное обсл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у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живание, наличие сертифицированных центров в Ре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с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публике Беларусь.</w:t>
            </w:r>
          </w:p>
        </w:tc>
      </w:tr>
      <w:tr w:rsidR="00C35550" w:rsidRPr="00EF29A9" w:rsidTr="00A55ABA">
        <w:trPr>
          <w:trHeight w:val="20"/>
        </w:trPr>
        <w:tc>
          <w:tcPr>
            <w:tcW w:w="1936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Аксессуары (</w:t>
            </w:r>
            <w:r w:rsidRPr="00EF29A9">
              <w:rPr>
                <w:rFonts w:cs="Times New Roman"/>
                <w:color w:val="auto"/>
                <w:sz w:val="24"/>
                <w:szCs w:val="24"/>
                <w:lang w:eastAsia="en-US"/>
              </w:rPr>
              <w:t>в комплекте)</w:t>
            </w:r>
          </w:p>
        </w:tc>
        <w:tc>
          <w:tcPr>
            <w:tcW w:w="3064" w:type="pct"/>
          </w:tcPr>
          <w:p w:rsidR="00C35550" w:rsidRPr="00EF29A9" w:rsidRDefault="00C35550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 менее 3 маркеров для работы на интерактивной п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а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нели, пульт дистанционного управления, Wi-Fi анте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на-приемник, USB-флэш с драйверами, кабели для р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а</w:t>
            </w:r>
            <w:r w:rsidRPr="00EF29A9">
              <w:rPr>
                <w:rFonts w:eastAsia="Times New Roman" w:cs="Times New Roman"/>
                <w:color w:val="auto"/>
                <w:sz w:val="24"/>
                <w:szCs w:val="24"/>
              </w:rPr>
              <w:t>боты длиной не менее 2 м (HDMI, кабель питания).</w:t>
            </w:r>
          </w:p>
        </w:tc>
      </w:tr>
      <w:tr w:rsidR="00BB6206" w:rsidRPr="00EF29A9" w:rsidTr="00A55ABA">
        <w:trPr>
          <w:trHeight w:val="20"/>
        </w:trPr>
        <w:tc>
          <w:tcPr>
            <w:tcW w:w="1936" w:type="pct"/>
          </w:tcPr>
          <w:p w:rsidR="00BB6206" w:rsidRPr="00EF29A9" w:rsidRDefault="00A55ABA" w:rsidP="00EB77E7">
            <w:pPr>
              <w:spacing w:after="1" w:line="256" w:lineRule="auto"/>
              <w:ind w:firstLine="0"/>
              <w:jc w:val="lef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Стенд для установки интеракти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в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ной панели</w:t>
            </w:r>
          </w:p>
        </w:tc>
        <w:tc>
          <w:tcPr>
            <w:tcW w:w="3064" w:type="pct"/>
          </w:tcPr>
          <w:p w:rsidR="00A55ABA" w:rsidRPr="00A55ABA" w:rsidRDefault="00A55ABA" w:rsidP="00A55ABA">
            <w:pPr>
              <w:ind w:firstLine="415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Стенд (стойка) заводского исполнения.</w:t>
            </w:r>
          </w:p>
          <w:p w:rsidR="00A55ABA" w:rsidRPr="00A55ABA" w:rsidRDefault="00A55ABA" w:rsidP="00A55ABA">
            <w:pPr>
              <w:spacing w:after="1"/>
              <w:ind w:left="-29" w:firstLine="444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Стенд (стойка) должен иметь высокие эксплуат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а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ционные характеристики, а также:</w:t>
            </w:r>
          </w:p>
          <w:p w:rsidR="00A55ABA" w:rsidRPr="00A55ABA" w:rsidRDefault="00A55ABA" w:rsidP="00A55ABA">
            <w:pPr>
              <w:spacing w:after="1"/>
              <w:ind w:hanging="1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- каркас стенда (стойки) должен быть выполнен из м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е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талла;</w:t>
            </w:r>
          </w:p>
          <w:p w:rsidR="00A55ABA" w:rsidRPr="00A55ABA" w:rsidRDefault="00A55ABA" w:rsidP="00A55ABA">
            <w:pPr>
              <w:spacing w:after="1"/>
              <w:ind w:hanging="1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- обеспечивать надежное и безопасное размещение и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н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терактивной панели (с диагональю видимого изобр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а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жения не менее 163,8 см (64,5") и массой до 80 кг, д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о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пустимы другие размеры при наличии соответству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ю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щего обоснования);</w:t>
            </w:r>
          </w:p>
          <w:p w:rsidR="00A55ABA" w:rsidRPr="00A55ABA" w:rsidRDefault="00A55ABA" w:rsidP="00A55ABA">
            <w:pPr>
              <w:spacing w:after="1"/>
              <w:ind w:hanging="1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- обеспечивать возможность изменения высоты расп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о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ложения 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>от нижнего края экрана панели до пола (в диапазоне от 0,9 м до 1,2 м);</w:t>
            </w:r>
          </w:p>
          <w:p w:rsidR="00A55ABA" w:rsidRPr="00A55ABA" w:rsidRDefault="00A55ABA" w:rsidP="00A55ABA">
            <w:pPr>
              <w:spacing w:after="1"/>
              <w:ind w:hanging="1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- стенд должен исключать возможность опрокидывания </w:t>
            </w: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>с установленной на него интерактивной панелью.</w:t>
            </w:r>
          </w:p>
          <w:p w:rsidR="00A55ABA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Конструктивные решения должны обеспечивать максимальный уровень безопасности при эксплуат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а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ции: </w:t>
            </w:r>
          </w:p>
          <w:p w:rsidR="00A55ABA" w:rsidRPr="00A55ABA" w:rsidRDefault="00A55ABA" w:rsidP="00A55ABA">
            <w:pPr>
              <w:spacing w:after="1"/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- основание стойки (расстояние между опорами) дол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ж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но быть сплошным; </w:t>
            </w:r>
          </w:p>
          <w:p w:rsidR="00A55ABA" w:rsidRPr="00A55ABA" w:rsidRDefault="00A55ABA" w:rsidP="00A55ABA">
            <w:pPr>
              <w:spacing w:after="1"/>
              <w:ind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- размер выступающего основания со стороны рабочей поверхности экрана должно быть не более 400 мм; </w:t>
            </w:r>
          </w:p>
          <w:p w:rsidR="00A55ABA" w:rsidRPr="00A55ABA" w:rsidRDefault="00A55ABA" w:rsidP="00A55ABA">
            <w:pPr>
              <w:spacing w:after="1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- металлический открытый каркас не должен иметь выступающих деталей и острых углов.</w:t>
            </w:r>
          </w:p>
          <w:p w:rsidR="00A55ABA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Мобильный стенд (стойка) должен быть оборуд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о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ван поворотными колесами диаметром не менее 100 мм (со стопорами на каждое колесо) для легкого перем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е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щения. Окружность, образованная наиболее выступ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а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ющей точкой колеса при его вращении на 360º вокруг оси крепления к стойке и расположенная параллельно плоскости основания, 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br/>
              <w:t>не должна выступать за контуры основания.</w:t>
            </w:r>
          </w:p>
          <w:p w:rsidR="00A55ABA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Стенд должен иметь одну полку для хранения м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а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териалов 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br/>
              <w:t>и аксессуаров на высоте не менее 500 мм от основания стойки:</w:t>
            </w:r>
          </w:p>
          <w:p w:rsidR="00A55ABA" w:rsidRPr="00A55ABA" w:rsidRDefault="00A55ABA" w:rsidP="00A55ABA">
            <w:pPr>
              <w:spacing w:after="1"/>
              <w:ind w:left="-29" w:firstLine="19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- ширина полки – не больше 300 мм, </w:t>
            </w:r>
          </w:p>
          <w:p w:rsidR="00A55ABA" w:rsidRPr="00A55ABA" w:rsidRDefault="00A55ABA" w:rsidP="00A55ABA">
            <w:pPr>
              <w:spacing w:after="1"/>
              <w:ind w:left="-29" w:firstLine="19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 w:cs="Times New Roman"/>
                <w:color w:val="auto"/>
                <w:sz w:val="24"/>
                <w:szCs w:val="24"/>
              </w:rPr>
              <w:t>- длина полки равна расстоянию между вертикальными опорами стенда.</w:t>
            </w:r>
          </w:p>
          <w:p w:rsidR="00A55ABA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Наличие сертификата соответствия: </w:t>
            </w:r>
            <w:proofErr w:type="gramStart"/>
            <w:r w:rsidRPr="00A55ABA">
              <w:rPr>
                <w:rFonts w:eastAsia="Times New Roman"/>
                <w:color w:val="auto"/>
                <w:sz w:val="24"/>
                <w:szCs w:val="24"/>
              </w:rPr>
              <w:t>ТР</w:t>
            </w:r>
            <w:proofErr w:type="gramEnd"/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 ТС 025/2012.</w:t>
            </w:r>
          </w:p>
          <w:p w:rsidR="00A55ABA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  <w:sz w:val="24"/>
                <w:szCs w:val="24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Стенд должен исключать возможность опрокид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>ы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вания 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br/>
              <w:t xml:space="preserve">при условиях, заданных ГОСТ </w:t>
            </w:r>
            <w:r w:rsidRPr="00A55ABA">
              <w:rPr>
                <w:rFonts w:eastAsia="Times New Roman"/>
                <w:color w:val="auto"/>
                <w:sz w:val="24"/>
                <w:szCs w:val="24"/>
                <w:lang w:val="en-US"/>
              </w:rPr>
              <w:t>IEC</w:t>
            </w:r>
            <w:r w:rsidRPr="00A55ABA">
              <w:rPr>
                <w:rFonts w:eastAsia="Times New Roman"/>
                <w:color w:val="auto"/>
                <w:sz w:val="24"/>
                <w:szCs w:val="24"/>
              </w:rPr>
              <w:t xml:space="preserve"> 60950-1-2014.</w:t>
            </w:r>
          </w:p>
          <w:p w:rsidR="00BB6206" w:rsidRPr="00A55ABA" w:rsidRDefault="00A55ABA" w:rsidP="00A55ABA">
            <w:pPr>
              <w:spacing w:after="1"/>
              <w:ind w:firstLine="415"/>
              <w:rPr>
                <w:rFonts w:eastAsia="Times New Roman"/>
                <w:color w:val="auto"/>
              </w:rPr>
            </w:pPr>
            <w:r w:rsidRPr="00A55ABA">
              <w:rPr>
                <w:rFonts w:eastAsia="Times New Roman"/>
                <w:color w:val="auto"/>
                <w:sz w:val="24"/>
                <w:szCs w:val="24"/>
              </w:rPr>
              <w:t>Гарантийный срок – не менее 36 месяцев, но не менее установленного срока производителем.</w:t>
            </w:r>
            <w:r w:rsidRPr="00EF29A9">
              <w:rPr>
                <w:rFonts w:eastAsia="Times New Roman"/>
                <w:color w:val="auto"/>
              </w:rPr>
              <w:t xml:space="preserve"> </w:t>
            </w:r>
          </w:p>
        </w:tc>
      </w:tr>
    </w:tbl>
    <w:p w:rsidR="003109A2" w:rsidRPr="003109A2" w:rsidRDefault="003109A2" w:rsidP="00E21F91">
      <w:pPr>
        <w:spacing w:before="240" w:after="1"/>
        <w:ind w:firstLine="0"/>
        <w:jc w:val="left"/>
        <w:rPr>
          <w:rFonts w:cs="Times New Roman"/>
          <w:b/>
          <w:color w:val="auto"/>
          <w:lang w:eastAsia="en-US"/>
        </w:rPr>
      </w:pPr>
    </w:p>
    <w:p w:rsidR="00D3152A" w:rsidRDefault="00D3152A" w:rsidP="003109A2">
      <w:pPr>
        <w:pStyle w:val="a4"/>
        <w:ind w:firstLine="0"/>
        <w:rPr>
          <w:rFonts w:ascii="Tahoma" w:hAnsi="Tahoma" w:cs="Tahoma"/>
          <w:b/>
          <w:bCs/>
          <w:color w:val="auto"/>
          <w:sz w:val="36"/>
          <w:szCs w:val="36"/>
          <w:shd w:val="clear" w:color="auto" w:fill="FFFFFF"/>
        </w:rPr>
      </w:pPr>
    </w:p>
    <w:p w:rsidR="00E21F91" w:rsidRPr="00D3152A" w:rsidRDefault="00256563" w:rsidP="003109A2">
      <w:pPr>
        <w:pStyle w:val="a4"/>
        <w:ind w:firstLine="0"/>
        <w:rPr>
          <w:sz w:val="36"/>
          <w:szCs w:val="36"/>
          <w:lang w:eastAsia="en-US"/>
        </w:rPr>
      </w:pPr>
      <w:r w:rsidRPr="00D3152A">
        <w:rPr>
          <w:rFonts w:ascii="Tahoma" w:hAnsi="Tahoma" w:cs="Tahoma"/>
          <w:b/>
          <w:bCs/>
          <w:color w:val="auto"/>
          <w:sz w:val="44"/>
          <w:szCs w:val="44"/>
          <w:shd w:val="clear" w:color="auto" w:fill="FFFFFF"/>
        </w:rPr>
        <w:t>Примечание</w:t>
      </w:r>
      <w:r w:rsidRPr="00D3152A">
        <w:rPr>
          <w:b/>
          <w:sz w:val="44"/>
          <w:szCs w:val="44"/>
          <w:lang w:eastAsia="en-US"/>
        </w:rPr>
        <w:t>.</w:t>
      </w:r>
      <w:r>
        <w:rPr>
          <w:lang w:eastAsia="en-US"/>
        </w:rPr>
        <w:t xml:space="preserve"> </w:t>
      </w:r>
      <w:r w:rsidRPr="00D3152A">
        <w:rPr>
          <w:sz w:val="36"/>
          <w:szCs w:val="36"/>
          <w:lang w:eastAsia="en-US"/>
        </w:rPr>
        <w:t xml:space="preserve">Перечень образовательного </w:t>
      </w:r>
      <w:r w:rsidR="00D3152A" w:rsidRPr="00D3152A">
        <w:rPr>
          <w:sz w:val="36"/>
          <w:szCs w:val="36"/>
          <w:lang w:eastAsia="en-US"/>
        </w:rPr>
        <w:t xml:space="preserve">программного обеспечения </w:t>
      </w:r>
      <w:r w:rsidRPr="00D3152A">
        <w:rPr>
          <w:sz w:val="36"/>
          <w:szCs w:val="36"/>
          <w:lang w:eastAsia="en-US"/>
        </w:rPr>
        <w:t xml:space="preserve"> по желанию Заказчик</w:t>
      </w:r>
      <w:bookmarkStart w:id="0" w:name="_GoBack"/>
      <w:bookmarkEnd w:id="0"/>
      <w:r w:rsidRPr="00D3152A">
        <w:rPr>
          <w:sz w:val="36"/>
          <w:szCs w:val="36"/>
          <w:lang w:eastAsia="en-US"/>
        </w:rPr>
        <w:t>а можно уменьшить.</w:t>
      </w:r>
    </w:p>
    <w:sectPr w:rsidR="00E21F91" w:rsidRPr="00D3152A" w:rsidSect="00A55AB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91"/>
    <w:rsid w:val="00135F9E"/>
    <w:rsid w:val="00256563"/>
    <w:rsid w:val="0027343A"/>
    <w:rsid w:val="003109A2"/>
    <w:rsid w:val="00424D7C"/>
    <w:rsid w:val="006C3EE0"/>
    <w:rsid w:val="00A55ABA"/>
    <w:rsid w:val="00BB6206"/>
    <w:rsid w:val="00C35550"/>
    <w:rsid w:val="00D3152A"/>
    <w:rsid w:val="00E21F91"/>
    <w:rsid w:val="00E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91"/>
    <w:pPr>
      <w:spacing w:after="0" w:line="240" w:lineRule="auto"/>
      <w:ind w:firstLine="709"/>
      <w:jc w:val="both"/>
    </w:pPr>
    <w:rPr>
      <w:rFonts w:ascii="Times New Roman" w:eastAsia="Calibri" w:hAnsi="Times New Roman" w:cs="Calibri"/>
      <w:color w:val="000000" w:themeColor="text1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9A2"/>
    <w:pPr>
      <w:spacing w:after="0" w:line="240" w:lineRule="auto"/>
      <w:ind w:firstLine="709"/>
      <w:jc w:val="both"/>
    </w:pPr>
    <w:rPr>
      <w:rFonts w:ascii="Times New Roman" w:eastAsia="Calibri" w:hAnsi="Times New Roman" w:cs="Calibri"/>
      <w:color w:val="000000" w:themeColor="text1"/>
      <w:sz w:val="30"/>
      <w:szCs w:val="3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109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109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310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91"/>
    <w:pPr>
      <w:spacing w:after="0" w:line="240" w:lineRule="auto"/>
      <w:ind w:firstLine="709"/>
      <w:jc w:val="both"/>
    </w:pPr>
    <w:rPr>
      <w:rFonts w:ascii="Times New Roman" w:eastAsia="Calibri" w:hAnsi="Times New Roman" w:cs="Calibri"/>
      <w:color w:val="000000" w:themeColor="text1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9A2"/>
    <w:pPr>
      <w:spacing w:after="0" w:line="240" w:lineRule="auto"/>
      <w:ind w:firstLine="709"/>
      <w:jc w:val="both"/>
    </w:pPr>
    <w:rPr>
      <w:rFonts w:ascii="Times New Roman" w:eastAsia="Calibri" w:hAnsi="Times New Roman" w:cs="Calibri"/>
      <w:color w:val="000000" w:themeColor="text1"/>
      <w:sz w:val="30"/>
      <w:szCs w:val="3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3109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109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310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</dc:creator>
  <cp:lastModifiedBy>Инфо</cp:lastModifiedBy>
  <cp:revision>6</cp:revision>
  <dcterms:created xsi:type="dcterms:W3CDTF">2026-05-15T11:20:00Z</dcterms:created>
  <dcterms:modified xsi:type="dcterms:W3CDTF">2026-06-16T08:25:00Z</dcterms:modified>
</cp:coreProperties>
</file>